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A275" w14:textId="77777777" w:rsidR="00821B5C" w:rsidRPr="00821B5C" w:rsidRDefault="00821B5C" w:rsidP="00821B5C">
      <w:pPr>
        <w:spacing w:after="4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68ECBF01" w14:textId="2AA6F984" w:rsidR="00FF1D59" w:rsidRPr="00821B5C" w:rsidRDefault="00FF1D59" w:rsidP="00821B5C">
      <w:pPr>
        <w:spacing w:after="4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Pr="00821B5C">
        <w:rPr>
          <w:rFonts w:ascii="Times New Roman" w:hAnsi="Times New Roman" w:cs="Times New Roman"/>
          <w:b/>
          <w:bCs/>
          <w:sz w:val="24"/>
          <w:szCs w:val="24"/>
        </w:rPr>
        <w:br/>
        <w:t>Komisji Samorządności i Dialogu Społecznego</w:t>
      </w:r>
      <w:r w:rsidRPr="00821B5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21B5C"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50754"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8 lipca </w:t>
      </w:r>
      <w:r w:rsidRPr="00821B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50754" w:rsidRPr="00821B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D6884EB" w14:textId="1996A290" w:rsidR="00FF1D59" w:rsidRPr="00821B5C" w:rsidRDefault="00FF1D59" w:rsidP="00CF221B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B5C">
        <w:rPr>
          <w:rFonts w:ascii="Times New Roman" w:hAnsi="Times New Roman" w:cs="Times New Roman"/>
          <w:b/>
          <w:bCs/>
          <w:sz w:val="24"/>
          <w:szCs w:val="24"/>
        </w:rPr>
        <w:t>w sprawie:</w:t>
      </w:r>
      <w:bookmarkStart w:id="0" w:name="_Hlk177641923"/>
      <w:r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AB8"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uwag do </w:t>
      </w:r>
      <w:r w:rsidR="008C1AB8" w:rsidRPr="00821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Projektu Strategii rozwoju metropolii warszawskiej do 2040 roku</w:t>
      </w:r>
      <w:r w:rsidR="008C1AB8" w:rsidRPr="00821B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bookmarkEnd w:id="0"/>
    <w:p w14:paraId="0DC0195F" w14:textId="77777777" w:rsidR="00FF1D59" w:rsidRPr="00821B5C" w:rsidRDefault="00FF1D59" w:rsidP="00CF221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5C">
        <w:rPr>
          <w:rFonts w:ascii="Times New Roman" w:hAnsi="Times New Roman" w:cs="Times New Roman"/>
          <w:sz w:val="24"/>
          <w:szCs w:val="24"/>
        </w:rPr>
        <w:t xml:space="preserve">Na podstawie § 38 ust. 1 Statutu Dzielnicy Żoliborz m.st. Warszawy, stanowiącego załącznik nr 18 do Uchwały nr LXX/2182/2010 Rady m.st. Warszawy z dnia 14.01.2010 r. w sprawie nadania statutów dzielnicom miasta stołecznego Warszawy (Dz. Urz. Woj. </w:t>
      </w:r>
      <w:proofErr w:type="spellStart"/>
      <w:r w:rsidRPr="00821B5C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821B5C">
        <w:rPr>
          <w:rFonts w:ascii="Times New Roman" w:hAnsi="Times New Roman" w:cs="Times New Roman"/>
          <w:sz w:val="24"/>
          <w:szCs w:val="24"/>
        </w:rPr>
        <w:t>. z 2022 r. poz. 9305), uchwala się, co następuje:</w:t>
      </w:r>
    </w:p>
    <w:p w14:paraId="06EBC5E0" w14:textId="2DF17375" w:rsidR="00FF1D59" w:rsidRPr="00821B5C" w:rsidRDefault="00FF1D59" w:rsidP="00CF221B">
      <w:pPr>
        <w:pStyle w:val="NormalnyWeb"/>
        <w:shd w:val="clear" w:color="auto" w:fill="FEFEFE"/>
        <w:spacing w:after="240" w:line="360" w:lineRule="auto"/>
        <w:jc w:val="both"/>
      </w:pPr>
      <w:r w:rsidRPr="00821B5C">
        <w:t xml:space="preserve">§ 1. Odnosząc się z perspektywy Dzielnicy Żoliborz do </w:t>
      </w:r>
      <w:r w:rsidR="00445D63" w:rsidRPr="00821B5C">
        <w:t xml:space="preserve">projektu </w:t>
      </w:r>
      <w:r w:rsidRPr="00821B5C">
        <w:t xml:space="preserve"> </w:t>
      </w:r>
      <w:r w:rsidRPr="00821B5C">
        <w:rPr>
          <w:i/>
          <w:iCs/>
        </w:rPr>
        <w:t xml:space="preserve">Strategii Rozwoju </w:t>
      </w:r>
      <w:r w:rsidR="00445D63" w:rsidRPr="00821B5C">
        <w:rPr>
          <w:i/>
          <w:iCs/>
        </w:rPr>
        <w:t xml:space="preserve">metropolii warszawskiej </w:t>
      </w:r>
      <w:r w:rsidR="00B463C7" w:rsidRPr="00821B5C">
        <w:rPr>
          <w:i/>
          <w:iCs/>
        </w:rPr>
        <w:t>do 2040 roku</w:t>
      </w:r>
      <w:r w:rsidRPr="00821B5C">
        <w:t xml:space="preserve"> Komisja przedkłada następujące uwagi:</w:t>
      </w:r>
    </w:p>
    <w:p w14:paraId="13F22B64" w14:textId="173790D1" w:rsidR="00B463C7" w:rsidRPr="00821B5C" w:rsidRDefault="00B463C7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 w:rsidRPr="00821B5C">
        <w:rPr>
          <w:b/>
          <w:bCs/>
        </w:rPr>
        <w:t>Cel strategiczny 4.</w:t>
      </w:r>
      <w:r w:rsidR="00551EC7" w:rsidRPr="00821B5C">
        <w:rPr>
          <w:b/>
          <w:bCs/>
        </w:rPr>
        <w:t>4</w:t>
      </w:r>
      <w:r w:rsidRPr="00821B5C">
        <w:rPr>
          <w:b/>
          <w:bCs/>
        </w:rPr>
        <w:t xml:space="preserve">: </w:t>
      </w:r>
      <w:r w:rsidR="00551EC7" w:rsidRPr="00821B5C">
        <w:rPr>
          <w:b/>
          <w:bCs/>
        </w:rPr>
        <w:t xml:space="preserve">Konkurencyjna otwartość </w:t>
      </w:r>
    </w:p>
    <w:p w14:paraId="3D17632E" w14:textId="0CBBE9E2" w:rsidR="00551EC7" w:rsidRPr="00821B5C" w:rsidRDefault="00B463C7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 w:rsidRPr="00821B5C">
        <w:rPr>
          <w:b/>
          <w:bCs/>
        </w:rPr>
        <w:t>4.</w:t>
      </w:r>
      <w:r w:rsidR="00551EC7" w:rsidRPr="00821B5C">
        <w:rPr>
          <w:b/>
          <w:bCs/>
        </w:rPr>
        <w:t>4.2.3 K</w:t>
      </w:r>
      <w:r w:rsidRPr="00821B5C">
        <w:rPr>
          <w:b/>
          <w:bCs/>
        </w:rPr>
        <w:t xml:space="preserve">ierunek: </w:t>
      </w:r>
      <w:r w:rsidR="00551EC7" w:rsidRPr="00821B5C">
        <w:rPr>
          <w:b/>
          <w:bCs/>
        </w:rPr>
        <w:t xml:space="preserve">Metropolitalna oferta turystyczna </w:t>
      </w:r>
    </w:p>
    <w:p w14:paraId="3A4B0256" w14:textId="74678419" w:rsidR="00551EC7" w:rsidRPr="00821B5C" w:rsidRDefault="00E34672" w:rsidP="00CF221B">
      <w:pPr>
        <w:pStyle w:val="NormalnyWeb"/>
        <w:shd w:val="clear" w:color="auto" w:fill="FEFEFE"/>
        <w:spacing w:after="240" w:line="360" w:lineRule="auto"/>
        <w:jc w:val="both"/>
        <w:rPr>
          <w:i/>
          <w:iCs/>
        </w:rPr>
      </w:pPr>
      <w:r>
        <w:t xml:space="preserve">Nawiązując do </w:t>
      </w:r>
      <w:r w:rsidR="007A2E24" w:rsidRPr="00821B5C">
        <w:t xml:space="preserve"> </w:t>
      </w:r>
      <w:r w:rsidR="00551EC7" w:rsidRPr="00821B5C">
        <w:t xml:space="preserve"> zapisu : </w:t>
      </w:r>
      <w:r w:rsidR="00551EC7" w:rsidRPr="00821B5C">
        <w:rPr>
          <w:i/>
          <w:iCs/>
        </w:rPr>
        <w:t xml:space="preserve">„W szczególności skoncentrujemy się, aby: </w:t>
      </w:r>
    </w:p>
    <w:p w14:paraId="67B99F1A" w14:textId="74CB4502" w:rsidR="00551EC7" w:rsidRPr="00821B5C" w:rsidRDefault="00551EC7" w:rsidP="00CF221B">
      <w:pPr>
        <w:pStyle w:val="NormalnyWeb"/>
        <w:shd w:val="clear" w:color="auto" w:fill="FEFEFE"/>
        <w:spacing w:after="240" w:line="360" w:lineRule="auto"/>
        <w:jc w:val="both"/>
        <w:rPr>
          <w:i/>
          <w:iCs/>
        </w:rPr>
      </w:pPr>
      <w:r w:rsidRPr="00821B5C">
        <w:rPr>
          <w:i/>
          <w:iCs/>
        </w:rPr>
        <w:t xml:space="preserve">- budować (…) wspólną ofertę turystyczną, która połączy potencjały poszczególnych gmin wchodzących w skład metropolii; tworzyć systemowe rozwiązania, sieciowe produkty turystyczne na podstawie dostępnych zasobów (m.in. lokalnej kultury i przyrody), </w:t>
      </w:r>
    </w:p>
    <w:p w14:paraId="200841D2" w14:textId="55D8436B" w:rsidR="00551EC7" w:rsidRPr="00821B5C" w:rsidRDefault="00551EC7" w:rsidP="00CF221B">
      <w:pPr>
        <w:pStyle w:val="NormalnyWeb"/>
        <w:shd w:val="clear" w:color="auto" w:fill="FEFEFE"/>
        <w:spacing w:after="240" w:line="360" w:lineRule="auto"/>
        <w:jc w:val="both"/>
        <w:rPr>
          <w:i/>
          <w:iCs/>
        </w:rPr>
      </w:pPr>
      <w:r w:rsidRPr="00821B5C">
        <w:rPr>
          <w:i/>
          <w:iCs/>
        </w:rPr>
        <w:t>- rozwijać zintegrowany system promocji, informacji i zarządzania w turystyce</w:t>
      </w:r>
      <w:r w:rsidR="00985B40" w:rsidRPr="00821B5C">
        <w:rPr>
          <w:i/>
          <w:iCs/>
        </w:rPr>
        <w:t>”</w:t>
      </w:r>
    </w:p>
    <w:p w14:paraId="7324D8A9" w14:textId="5F543396" w:rsidR="00444F56" w:rsidRPr="00821B5C" w:rsidRDefault="0053043D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 w:rsidRPr="00821B5C">
        <w:rPr>
          <w:b/>
          <w:bCs/>
        </w:rPr>
        <w:t xml:space="preserve">  </w:t>
      </w:r>
      <w:r w:rsidR="007A2E24" w:rsidRPr="00821B5C">
        <w:rPr>
          <w:b/>
          <w:bCs/>
        </w:rPr>
        <w:t xml:space="preserve"> </w:t>
      </w:r>
      <w:r w:rsidRPr="00821B5C">
        <w:rPr>
          <w:b/>
          <w:bCs/>
        </w:rPr>
        <w:t xml:space="preserve">  </w:t>
      </w:r>
      <w:r w:rsidR="00551EC7" w:rsidRPr="00821B5C">
        <w:rPr>
          <w:b/>
          <w:bCs/>
        </w:rPr>
        <w:t xml:space="preserve">Komisja </w:t>
      </w:r>
      <w:r w:rsidRPr="00821B5C">
        <w:rPr>
          <w:b/>
          <w:bCs/>
        </w:rPr>
        <w:t xml:space="preserve"> </w:t>
      </w:r>
      <w:r w:rsidR="006646DC" w:rsidRPr="00821B5C">
        <w:rPr>
          <w:b/>
          <w:bCs/>
        </w:rPr>
        <w:t xml:space="preserve">zwraca </w:t>
      </w:r>
      <w:r w:rsidR="00551EC7" w:rsidRPr="00821B5C">
        <w:rPr>
          <w:b/>
          <w:bCs/>
        </w:rPr>
        <w:t xml:space="preserve"> uwagę na </w:t>
      </w:r>
      <w:r w:rsidR="007A2E24" w:rsidRPr="00821B5C">
        <w:rPr>
          <w:b/>
          <w:bCs/>
        </w:rPr>
        <w:t xml:space="preserve"> </w:t>
      </w:r>
      <w:r w:rsidR="006646DC" w:rsidRPr="00821B5C">
        <w:rPr>
          <w:b/>
          <w:bCs/>
        </w:rPr>
        <w:t xml:space="preserve">niezaprzeczalne  </w:t>
      </w:r>
      <w:r w:rsidR="00551EC7" w:rsidRPr="00821B5C">
        <w:rPr>
          <w:b/>
          <w:bCs/>
        </w:rPr>
        <w:t>walory turystyczne</w:t>
      </w:r>
      <w:r w:rsidR="007A2E24" w:rsidRPr="00821B5C">
        <w:rPr>
          <w:b/>
          <w:bCs/>
        </w:rPr>
        <w:t xml:space="preserve"> jednostki pomocniczej m.st. Warszawy</w:t>
      </w:r>
      <w:r w:rsidR="00551EC7" w:rsidRPr="00821B5C">
        <w:rPr>
          <w:b/>
          <w:bCs/>
        </w:rPr>
        <w:t xml:space="preserve"> Dzielnicy Żoliborz</w:t>
      </w:r>
      <w:r w:rsidRPr="00821B5C">
        <w:rPr>
          <w:b/>
          <w:bCs/>
        </w:rPr>
        <w:t xml:space="preserve"> takie jak </w:t>
      </w:r>
      <w:r w:rsidR="00444F56" w:rsidRPr="00821B5C">
        <w:rPr>
          <w:b/>
          <w:bCs/>
        </w:rPr>
        <w:t xml:space="preserve">przedwojenna koncepcja przestrzenna miasta-ogrodu/Pomnika Niepodległości, </w:t>
      </w:r>
      <w:r w:rsidR="00985B40" w:rsidRPr="00821B5C">
        <w:rPr>
          <w:b/>
          <w:bCs/>
        </w:rPr>
        <w:t>parki</w:t>
      </w:r>
      <w:r w:rsidRPr="00821B5C">
        <w:rPr>
          <w:b/>
          <w:bCs/>
        </w:rPr>
        <w:t xml:space="preserve"> miejskie </w:t>
      </w:r>
      <w:r w:rsidR="00985B40" w:rsidRPr="00821B5C">
        <w:rPr>
          <w:b/>
          <w:bCs/>
        </w:rPr>
        <w:t xml:space="preserve"> o zróżnicowanym charakterze </w:t>
      </w:r>
      <w:r w:rsidRPr="00821B5C">
        <w:rPr>
          <w:b/>
          <w:bCs/>
        </w:rPr>
        <w:t>(</w:t>
      </w:r>
      <w:r w:rsidR="00985B40" w:rsidRPr="00821B5C">
        <w:rPr>
          <w:b/>
          <w:bCs/>
        </w:rPr>
        <w:t xml:space="preserve">Park Żeromskiego, Kępa Potocka, Park Kaskada, Park Sady Żoliborskie, Park Fosa i Stoki Cytadeli), obiekty muzealne </w:t>
      </w:r>
      <w:r w:rsidRPr="00821B5C">
        <w:rPr>
          <w:b/>
          <w:bCs/>
        </w:rPr>
        <w:t xml:space="preserve">na terenie </w:t>
      </w:r>
      <w:r w:rsidR="00985B40" w:rsidRPr="00821B5C">
        <w:rPr>
          <w:b/>
          <w:bCs/>
        </w:rPr>
        <w:t>Cytadel</w:t>
      </w:r>
      <w:r w:rsidRPr="00821B5C">
        <w:rPr>
          <w:b/>
          <w:bCs/>
        </w:rPr>
        <w:t>i</w:t>
      </w:r>
      <w:r w:rsidR="00985B40" w:rsidRPr="00821B5C">
        <w:rPr>
          <w:b/>
          <w:bCs/>
        </w:rPr>
        <w:t xml:space="preserve"> Warszawsk</w:t>
      </w:r>
      <w:r w:rsidR="0041204F" w:rsidRPr="00821B5C">
        <w:rPr>
          <w:b/>
          <w:bCs/>
        </w:rPr>
        <w:t>i</w:t>
      </w:r>
      <w:r w:rsidRPr="00821B5C">
        <w:rPr>
          <w:b/>
          <w:bCs/>
        </w:rPr>
        <w:t>e</w:t>
      </w:r>
      <w:r w:rsidR="0041204F" w:rsidRPr="00821B5C">
        <w:rPr>
          <w:b/>
          <w:bCs/>
        </w:rPr>
        <w:t>j</w:t>
      </w:r>
      <w:r w:rsidRPr="00821B5C">
        <w:rPr>
          <w:b/>
          <w:bCs/>
        </w:rPr>
        <w:t xml:space="preserve"> (M</w:t>
      </w:r>
      <w:r w:rsidR="00821B5C" w:rsidRPr="00821B5C">
        <w:rPr>
          <w:b/>
          <w:bCs/>
        </w:rPr>
        <w:t xml:space="preserve">uzeum </w:t>
      </w:r>
      <w:r w:rsidRPr="00821B5C">
        <w:rPr>
          <w:b/>
          <w:bCs/>
        </w:rPr>
        <w:t>H</w:t>
      </w:r>
      <w:r w:rsidR="00821B5C" w:rsidRPr="00821B5C">
        <w:rPr>
          <w:b/>
          <w:bCs/>
        </w:rPr>
        <w:t xml:space="preserve">istorii </w:t>
      </w:r>
      <w:r w:rsidRPr="00821B5C">
        <w:rPr>
          <w:b/>
          <w:bCs/>
        </w:rPr>
        <w:t>P</w:t>
      </w:r>
      <w:r w:rsidR="00821B5C" w:rsidRPr="00821B5C">
        <w:rPr>
          <w:b/>
          <w:bCs/>
        </w:rPr>
        <w:t>olski</w:t>
      </w:r>
      <w:r w:rsidRPr="00821B5C">
        <w:rPr>
          <w:b/>
          <w:bCs/>
        </w:rPr>
        <w:t>, M</w:t>
      </w:r>
      <w:r w:rsidR="00821B5C" w:rsidRPr="00821B5C">
        <w:rPr>
          <w:b/>
          <w:bCs/>
        </w:rPr>
        <w:t xml:space="preserve">uzeum </w:t>
      </w:r>
      <w:r w:rsidRPr="00821B5C">
        <w:rPr>
          <w:b/>
          <w:bCs/>
        </w:rPr>
        <w:t>W</w:t>
      </w:r>
      <w:r w:rsidR="00821B5C" w:rsidRPr="00821B5C">
        <w:rPr>
          <w:b/>
          <w:bCs/>
        </w:rPr>
        <w:t xml:space="preserve">ojska </w:t>
      </w:r>
      <w:r w:rsidRPr="00821B5C">
        <w:rPr>
          <w:b/>
          <w:bCs/>
        </w:rPr>
        <w:t>P</w:t>
      </w:r>
      <w:r w:rsidR="00821B5C" w:rsidRPr="00821B5C">
        <w:rPr>
          <w:b/>
          <w:bCs/>
        </w:rPr>
        <w:t>olskiego</w:t>
      </w:r>
      <w:r w:rsidRPr="00821B5C">
        <w:rPr>
          <w:b/>
          <w:bCs/>
        </w:rPr>
        <w:t>, Muzeum Katyńskie, X Pawilon -Muzeum Niepodległości</w:t>
      </w:r>
      <w:r w:rsidR="00985B40" w:rsidRPr="00821B5C">
        <w:rPr>
          <w:b/>
          <w:bCs/>
        </w:rPr>
        <w:t>), obiekty sakralne (Sanktuarium Ks. Jerzego Popiełuszki przy kościele św. Stanisława Kostki,  Kościół pw. MB Królowej Polski na historycznym Marymoncie), które znakomicie wpisują się w zamysł</w:t>
      </w:r>
      <w:r w:rsidR="00171711" w:rsidRPr="00821B5C">
        <w:rPr>
          <w:b/>
          <w:bCs/>
        </w:rPr>
        <w:t xml:space="preserve"> sieciowego produktu turystycznego</w:t>
      </w:r>
      <w:r w:rsidR="00444F56" w:rsidRPr="00821B5C">
        <w:rPr>
          <w:b/>
          <w:bCs/>
        </w:rPr>
        <w:t>.</w:t>
      </w:r>
    </w:p>
    <w:p w14:paraId="6788A460" w14:textId="3C4BE8E5" w:rsidR="007A2E24" w:rsidRPr="00821B5C" w:rsidRDefault="007A2E24" w:rsidP="00CF221B">
      <w:pPr>
        <w:pStyle w:val="NormalnyWeb"/>
        <w:shd w:val="clear" w:color="auto" w:fill="FEFEFE"/>
        <w:spacing w:after="240" w:line="360" w:lineRule="auto"/>
        <w:jc w:val="both"/>
      </w:pPr>
      <w:r w:rsidRPr="00821B5C">
        <w:lastRenderedPageBreak/>
        <w:t xml:space="preserve">Wśród ustaleń i rekomendacji projektu Strategii  znalazły się m.in. </w:t>
      </w:r>
    </w:p>
    <w:p w14:paraId="2CCE4433" w14:textId="3C188E40" w:rsidR="0041204F" w:rsidRPr="00821B5C" w:rsidRDefault="002B0FA4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 w:rsidRPr="00821B5C">
        <w:rPr>
          <w:b/>
          <w:bCs/>
        </w:rPr>
        <w:t>-</w:t>
      </w:r>
      <w:r w:rsidR="0041204F" w:rsidRPr="00821B5C">
        <w:rPr>
          <w:b/>
          <w:bCs/>
        </w:rPr>
        <w:t xml:space="preserve">5. 1. Model struktury funkcjonalno-przestrzennej </w:t>
      </w:r>
    </w:p>
    <w:p w14:paraId="4C153D71" w14:textId="2E25D7A5" w:rsidR="0041204F" w:rsidRPr="00821B5C" w:rsidRDefault="0041204F" w:rsidP="00CF221B">
      <w:pPr>
        <w:pStyle w:val="NormalnyWeb"/>
        <w:shd w:val="clear" w:color="auto" w:fill="FEFEFE"/>
        <w:spacing w:after="240" w:line="360" w:lineRule="auto"/>
        <w:jc w:val="both"/>
      </w:pPr>
      <w:r w:rsidRPr="00821B5C">
        <w:rPr>
          <w:b/>
          <w:bCs/>
        </w:rPr>
        <w:t xml:space="preserve">Odnosząc się do zapisu </w:t>
      </w:r>
      <w:r w:rsidR="003C4F9B" w:rsidRPr="00821B5C">
        <w:rPr>
          <w:b/>
          <w:bCs/>
        </w:rPr>
        <w:t xml:space="preserve">z punktu  </w:t>
      </w:r>
      <w:r w:rsidR="0053043D" w:rsidRPr="00821B5C">
        <w:rPr>
          <w:b/>
          <w:bCs/>
        </w:rPr>
        <w:t>5.1.2.</w:t>
      </w:r>
      <w:r w:rsidRPr="00821B5C">
        <w:t xml:space="preserve">  </w:t>
      </w:r>
      <w:r w:rsidR="003C4F9B" w:rsidRPr="00821B5C">
        <w:t>(</w:t>
      </w:r>
      <w:r w:rsidRPr="00821B5C">
        <w:t>System powiązań przyrodniczych</w:t>
      </w:r>
      <w:r w:rsidR="003C4F9B" w:rsidRPr="00821B5C">
        <w:t>)</w:t>
      </w:r>
    </w:p>
    <w:p w14:paraId="1A1E82F5" w14:textId="77777777" w:rsidR="0041204F" w:rsidRPr="00821B5C" w:rsidRDefault="0041204F" w:rsidP="00CF221B">
      <w:pPr>
        <w:pStyle w:val="NormalnyWeb"/>
        <w:shd w:val="clear" w:color="auto" w:fill="FEFEFE"/>
        <w:spacing w:after="240" w:line="360" w:lineRule="auto"/>
        <w:jc w:val="both"/>
        <w:rPr>
          <w:i/>
          <w:iCs/>
        </w:rPr>
      </w:pPr>
      <w:r w:rsidRPr="00821B5C">
        <w:rPr>
          <w:i/>
          <w:iCs/>
        </w:rPr>
        <w:t xml:space="preserve">„Metropolitalna sieć zielonej infrastruktury w 2040 roku jest rozumiana jako „strategicznie zaplanowana sieć obszarów naturalnych i półnaturalnych pokrytych roślinnością lub wodami, wraz z innymi elementami środowiska, zaprojektowana i zarządzana w sposób, który ma zapewnić szeroką gamę usług ekosystemowych” </w:t>
      </w:r>
    </w:p>
    <w:p w14:paraId="165F58B4" w14:textId="6014748A" w:rsidR="00B463C7" w:rsidRPr="00821B5C" w:rsidRDefault="007A2E24" w:rsidP="00CF221B">
      <w:pPr>
        <w:pStyle w:val="NormalnyWeb"/>
        <w:shd w:val="clear" w:color="auto" w:fill="FEFEFE"/>
        <w:spacing w:after="240" w:line="360" w:lineRule="auto"/>
        <w:jc w:val="both"/>
      </w:pPr>
      <w:r w:rsidRPr="00821B5C">
        <w:rPr>
          <w:b/>
          <w:bCs/>
        </w:rPr>
        <w:t xml:space="preserve">Komisja uważa, że  </w:t>
      </w:r>
      <w:r w:rsidR="0041204F" w:rsidRPr="00821B5C">
        <w:rPr>
          <w:b/>
          <w:bCs/>
        </w:rPr>
        <w:t xml:space="preserve"> chociaż  Żoliborz </w:t>
      </w:r>
      <w:r w:rsidRPr="00821B5C">
        <w:rPr>
          <w:b/>
          <w:bCs/>
        </w:rPr>
        <w:t xml:space="preserve"> nie</w:t>
      </w:r>
      <w:r w:rsidR="00821B5C" w:rsidRPr="00821B5C">
        <w:rPr>
          <w:b/>
          <w:bCs/>
        </w:rPr>
        <w:t xml:space="preserve"> </w:t>
      </w:r>
      <w:r w:rsidRPr="00821B5C">
        <w:rPr>
          <w:b/>
          <w:bCs/>
        </w:rPr>
        <w:t xml:space="preserve"> będzie wchodzić </w:t>
      </w:r>
      <w:r w:rsidR="0041204F" w:rsidRPr="00821B5C">
        <w:rPr>
          <w:b/>
          <w:bCs/>
        </w:rPr>
        <w:t xml:space="preserve"> bezpośrednio w skład w/w sieci  należy podkreślić </w:t>
      </w:r>
      <w:r w:rsidR="00821B5C" w:rsidRPr="00821B5C">
        <w:rPr>
          <w:b/>
          <w:bCs/>
        </w:rPr>
        <w:t xml:space="preserve"> </w:t>
      </w:r>
      <w:r w:rsidR="0041204F" w:rsidRPr="00821B5C">
        <w:rPr>
          <w:b/>
          <w:bCs/>
        </w:rPr>
        <w:t>specyficzny charakter</w:t>
      </w:r>
      <w:r w:rsidR="00821B5C" w:rsidRPr="00821B5C">
        <w:rPr>
          <w:b/>
          <w:bCs/>
        </w:rPr>
        <w:t xml:space="preserve"> </w:t>
      </w:r>
      <w:r w:rsidR="0041204F" w:rsidRPr="00821B5C">
        <w:rPr>
          <w:b/>
          <w:bCs/>
        </w:rPr>
        <w:t xml:space="preserve"> </w:t>
      </w:r>
      <w:r w:rsidR="003C4F9B" w:rsidRPr="00821B5C">
        <w:rPr>
          <w:b/>
          <w:bCs/>
        </w:rPr>
        <w:t xml:space="preserve">Dzielnicy.  </w:t>
      </w:r>
      <w:r w:rsidR="00BA0337" w:rsidRPr="00821B5C">
        <w:rPr>
          <w:rStyle w:val="Pogrubienie"/>
          <w:color w:val="333333"/>
          <w:shd w:val="clear" w:color="auto" w:fill="FFFFFF"/>
        </w:rPr>
        <w:t>Żoliborz słynie ze wszechobecnej zieleni</w:t>
      </w:r>
      <w:r w:rsidRPr="00821B5C">
        <w:rPr>
          <w:rStyle w:val="Pogrubienie"/>
          <w:color w:val="333333"/>
          <w:shd w:val="clear" w:color="auto" w:fill="FFFFFF"/>
        </w:rPr>
        <w:t xml:space="preserve">, a przecież </w:t>
      </w:r>
      <w:r w:rsidR="00821B5C" w:rsidRPr="00821B5C">
        <w:rPr>
          <w:rStyle w:val="Pogrubienie"/>
          <w:color w:val="333333"/>
          <w:shd w:val="clear" w:color="auto" w:fill="FFFFFF"/>
        </w:rPr>
        <w:t xml:space="preserve"> </w:t>
      </w:r>
      <w:r w:rsidR="00BA0337" w:rsidRPr="00821B5C">
        <w:rPr>
          <w:rStyle w:val="Pogrubienie"/>
          <w:color w:val="333333"/>
          <w:shd w:val="clear" w:color="auto" w:fill="FFFFFF"/>
        </w:rPr>
        <w:t xml:space="preserve"> nie każda dzielnica </w:t>
      </w:r>
      <w:r w:rsidR="003C4F9B" w:rsidRPr="00821B5C">
        <w:rPr>
          <w:rStyle w:val="Pogrubienie"/>
          <w:color w:val="333333"/>
          <w:shd w:val="clear" w:color="auto" w:fill="FFFFFF"/>
        </w:rPr>
        <w:t xml:space="preserve">Warszawy  </w:t>
      </w:r>
      <w:r w:rsidR="00BA0337" w:rsidRPr="00821B5C">
        <w:rPr>
          <w:rStyle w:val="Pogrubienie"/>
          <w:color w:val="333333"/>
          <w:shd w:val="clear" w:color="auto" w:fill="FFFFFF"/>
        </w:rPr>
        <w:t>może się tym pochwalić. Parki, skwery</w:t>
      </w:r>
      <w:r w:rsidRPr="00821B5C">
        <w:rPr>
          <w:rStyle w:val="Pogrubienie"/>
          <w:color w:val="333333"/>
          <w:shd w:val="clear" w:color="auto" w:fill="FFFFFF"/>
        </w:rPr>
        <w:t xml:space="preserve">, zieleńce </w:t>
      </w:r>
      <w:r w:rsidR="00BA0337" w:rsidRPr="00821B5C">
        <w:rPr>
          <w:rStyle w:val="Pogrubienie"/>
          <w:color w:val="333333"/>
          <w:shd w:val="clear" w:color="auto" w:fill="FFFFFF"/>
        </w:rPr>
        <w:t xml:space="preserve"> oraz ogródki działkowe stały się wizytówką naszej dzielnicy</w:t>
      </w:r>
      <w:r w:rsidRPr="00821B5C">
        <w:rPr>
          <w:rStyle w:val="Pogrubienie"/>
          <w:color w:val="333333"/>
          <w:shd w:val="clear" w:color="auto" w:fill="FFFFFF"/>
        </w:rPr>
        <w:t xml:space="preserve">. </w:t>
      </w:r>
      <w:r w:rsidR="0041204F" w:rsidRPr="00821B5C">
        <w:t xml:space="preserve">  </w:t>
      </w:r>
      <w:r w:rsidR="00B463C7" w:rsidRPr="00821B5C">
        <w:t xml:space="preserve">  </w:t>
      </w:r>
    </w:p>
    <w:p w14:paraId="1618F834" w14:textId="77777777" w:rsidR="00E34672" w:rsidRDefault="00E34672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</w:p>
    <w:p w14:paraId="479FC981" w14:textId="005D4B28" w:rsidR="004110BD" w:rsidRPr="00821B5C" w:rsidRDefault="00E34672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>
        <w:rPr>
          <w:b/>
          <w:bCs/>
        </w:rPr>
        <w:t>-</w:t>
      </w:r>
      <w:r w:rsidR="004110BD" w:rsidRPr="00821B5C">
        <w:rPr>
          <w:b/>
          <w:bCs/>
        </w:rPr>
        <w:t xml:space="preserve">5.2.3. Zasady ochrony dziedzictwa kulturowego i zabytków oraz dóbr kultury współczesnej </w:t>
      </w:r>
    </w:p>
    <w:p w14:paraId="7FC4AB0E" w14:textId="1C699AAA" w:rsidR="004110BD" w:rsidRPr="00821B5C" w:rsidRDefault="00E34672" w:rsidP="00CF221B">
      <w:pPr>
        <w:pStyle w:val="NormalnyWeb"/>
        <w:shd w:val="clear" w:color="auto" w:fill="FEFEFE"/>
        <w:spacing w:after="240" w:line="360" w:lineRule="auto"/>
        <w:jc w:val="both"/>
        <w:rPr>
          <w:i/>
          <w:iCs/>
        </w:rPr>
      </w:pPr>
      <w:r>
        <w:t>-</w:t>
      </w:r>
      <w:r w:rsidR="006646DC" w:rsidRPr="00821B5C">
        <w:t xml:space="preserve">Odnosząc się do </w:t>
      </w:r>
      <w:r w:rsidR="004110BD" w:rsidRPr="00821B5C">
        <w:t xml:space="preserve"> zapisu „</w:t>
      </w:r>
      <w:r w:rsidR="004110BD" w:rsidRPr="00821B5C">
        <w:rPr>
          <w:i/>
          <w:iCs/>
        </w:rPr>
        <w:t xml:space="preserve">W ramach ustaleń na poziomie metropolitalnym zobowiązujemy się do: • opracowania wspólnych kryteriów wyznaczania i zasad ochrony dóbr kultury współczesnej i innych elementów dziedzictwa kulturowego, w tym dziedzictwa niematerialnego, które nie są objęte ochroną ustawową, a które gminy chciałyby chronić, </w:t>
      </w:r>
    </w:p>
    <w:p w14:paraId="26A89995" w14:textId="77777777" w:rsidR="004110BD" w:rsidRPr="00821B5C" w:rsidRDefault="004110BD" w:rsidP="00CF221B">
      <w:pPr>
        <w:pStyle w:val="NormalnyWeb"/>
        <w:shd w:val="clear" w:color="auto" w:fill="FEFEFE"/>
        <w:spacing w:after="240" w:line="360" w:lineRule="auto"/>
        <w:jc w:val="both"/>
        <w:rPr>
          <w:i/>
          <w:iCs/>
        </w:rPr>
      </w:pPr>
      <w:r w:rsidRPr="00821B5C">
        <w:rPr>
          <w:i/>
          <w:iCs/>
        </w:rPr>
        <w:t xml:space="preserve"> • inicjowania i nadzorowania tworzenia ponadlokalnych szlaków edukacyjnych i turystycznych, łączących najważniejsze zabytki i dobra kultury współczesnej metropolii, również poprzez zapewnienie dostępu do nich przy pomocy transportu publicznego oraz rowerowego, </w:t>
      </w:r>
    </w:p>
    <w:p w14:paraId="4595FA3C" w14:textId="7A281241" w:rsidR="004110BD" w:rsidRPr="00821B5C" w:rsidRDefault="004110BD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 w:rsidRPr="00821B5C">
        <w:rPr>
          <w:i/>
          <w:iCs/>
        </w:rPr>
        <w:t>• promowania wspólnej tożsamoś</w:t>
      </w:r>
      <w:r w:rsidRPr="00821B5C">
        <w:t xml:space="preserve">ci </w:t>
      </w:r>
      <w:r w:rsidRPr="00821B5C">
        <w:rPr>
          <w:i/>
          <w:iCs/>
        </w:rPr>
        <w:t>kulturowej metropolii, w tym lokalnych tradycji, na obszarze całej metropolii oraz poza nią</w:t>
      </w:r>
      <w:r w:rsidR="006646DC" w:rsidRPr="00821B5C">
        <w:rPr>
          <w:i/>
          <w:iCs/>
        </w:rPr>
        <w:t>”</w:t>
      </w:r>
    </w:p>
    <w:p w14:paraId="24E3707B" w14:textId="3C035843" w:rsidR="004110BD" w:rsidRPr="00821B5C" w:rsidRDefault="004110BD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 w:rsidRPr="00821B5C">
        <w:rPr>
          <w:b/>
          <w:bCs/>
        </w:rPr>
        <w:t>Komisja</w:t>
      </w:r>
      <w:r w:rsidR="006646DC" w:rsidRPr="00821B5C">
        <w:rPr>
          <w:b/>
          <w:bCs/>
        </w:rPr>
        <w:t xml:space="preserve"> </w:t>
      </w:r>
      <w:r w:rsidRPr="00821B5C">
        <w:rPr>
          <w:b/>
          <w:bCs/>
        </w:rPr>
        <w:t xml:space="preserve"> wspiera </w:t>
      </w:r>
      <w:r w:rsidR="00E34672">
        <w:rPr>
          <w:b/>
          <w:bCs/>
        </w:rPr>
        <w:t xml:space="preserve">w/w </w:t>
      </w:r>
      <w:r w:rsidR="006646DC" w:rsidRPr="00821B5C">
        <w:rPr>
          <w:b/>
          <w:bCs/>
        </w:rPr>
        <w:t xml:space="preserve"> postulaty</w:t>
      </w:r>
      <w:r w:rsidRPr="00821B5C">
        <w:rPr>
          <w:b/>
          <w:bCs/>
        </w:rPr>
        <w:t xml:space="preserve"> ze</w:t>
      </w:r>
      <w:r w:rsidR="00E34672">
        <w:rPr>
          <w:b/>
          <w:bCs/>
        </w:rPr>
        <w:t xml:space="preserve"> </w:t>
      </w:r>
      <w:r w:rsidRPr="00821B5C">
        <w:rPr>
          <w:b/>
          <w:bCs/>
        </w:rPr>
        <w:t xml:space="preserve"> względu </w:t>
      </w:r>
      <w:r w:rsidR="00E34672">
        <w:rPr>
          <w:b/>
          <w:bCs/>
        </w:rPr>
        <w:t xml:space="preserve"> </w:t>
      </w:r>
      <w:r w:rsidRPr="00821B5C">
        <w:rPr>
          <w:b/>
          <w:bCs/>
        </w:rPr>
        <w:t xml:space="preserve">na </w:t>
      </w:r>
      <w:r w:rsidR="00E34672">
        <w:rPr>
          <w:b/>
          <w:bCs/>
        </w:rPr>
        <w:t xml:space="preserve"> </w:t>
      </w:r>
      <w:r w:rsidRPr="00821B5C">
        <w:rPr>
          <w:b/>
          <w:bCs/>
        </w:rPr>
        <w:t xml:space="preserve">dostrzegalną potrzebę ochrony i promocji niepowtarzalnego charakteru Dzielnicy </w:t>
      </w:r>
      <w:r w:rsidR="006646DC" w:rsidRPr="00821B5C">
        <w:rPr>
          <w:b/>
          <w:bCs/>
        </w:rPr>
        <w:t xml:space="preserve">m. st.  </w:t>
      </w:r>
      <w:r w:rsidRPr="00821B5C">
        <w:rPr>
          <w:b/>
          <w:bCs/>
        </w:rPr>
        <w:t xml:space="preserve">Warszawy    </w:t>
      </w:r>
    </w:p>
    <w:p w14:paraId="63D734A2" w14:textId="4964D3A7" w:rsidR="007A2E24" w:rsidRPr="00821B5C" w:rsidRDefault="002B0FA4" w:rsidP="00CF2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Z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realizowana w 20-leciu międzywojennym koncepcja przestrzenna miasta-ogrodu na Żoliborzu została uznana za dobro kultury narodowej potwierdzone wpisami do rejestru zabytków (Żoliborz Oficerski, obszar całego Żoliborza Historycznego – strefa ochrony konserwatorskiej </w:t>
      </w:r>
      <w:r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nad 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układ</w:t>
      </w:r>
      <w:r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em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ulic i zabudow</w:t>
      </w:r>
      <w:r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ą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, WSM „Żoliborz Centralny” – zespół architektoniczno-budowlany z zielenią, Kolonia Urzędnicza – układ urbanistyczny i zespół budowlany z zielenią, Kolonia Dziennikarska – zespół architektoniczno-budowlany wraz z zielenią). </w:t>
      </w:r>
    </w:p>
    <w:p w14:paraId="58F9ADA4" w14:textId="1D4E038A" w:rsidR="007A2E24" w:rsidRPr="00821B5C" w:rsidRDefault="00E34672" w:rsidP="00CF2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Charakterystyczne elementy kompozycji tych układów przestrzennych będące przedmiotami wpisów: </w:t>
      </w:r>
      <w:r w:rsidR="00FB5DAF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rozplanowanie ulic i placów;</w:t>
      </w:r>
      <w:r w:rsidR="00CF221B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proporcje terenów zieleni (ok. 60%) do zabudowanych (ok. 40%), co tworzy klimat miasta-ogrodu;</w:t>
      </w:r>
      <w:r w:rsidR="00CF221B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skala gabarytów architektury i proporcji przestrzennych; zieleń jako element krajobrazu otaczającego architekturę: parki, skwery, dziedzińce międzyblokowe oraz zielone ogrody na dachach budynków; ciągi ulic i trasy komunikacyjne  w pasach ziel</w:t>
      </w:r>
      <w:r w:rsidR="007A2E24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e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ni, z aleją Wojska Polskiego i ulicą Krasińskiego;  towarzysząca zabudowie mieszkaniowej   oferta zaspokajania potrzeb socjalnych oraz kulturalno-edukacyjnych, tworząca  program infrastruktury funkcjonalnej nieosiągalny w nowych realizacjach osiedli mieszkaniowych. </w:t>
      </w:r>
    </w:p>
    <w:p w14:paraId="4ABC1BFF" w14:textId="21B1EED4" w:rsidR="007A2E24" w:rsidRPr="00821B5C" w:rsidRDefault="00CF221B" w:rsidP="00CF22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Na terenie założenia urbanistycznego Żoliborza zrealizowano wiele dzieł architektury modernizmu polskiego, zespołów mieszkaniowych oraz obiektów użyteczności publicznej projektowanych przez najwybitniejszych architektów: Antoniego Jawornickiego, Rudolfa Świerczyńskiego, Tadeusza Tołwińskiego, Kazimierza Tołłoczkę, Józefa Szanajcę, Bohdana </w:t>
      </w:r>
      <w:proofErr w:type="spellStart"/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Lacherta</w:t>
      </w:r>
      <w:proofErr w:type="spellEnd"/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, Barbarę i Stanisława Brukalskich, Romualda Gutta, Bohdana Pniewskiego, Brunona Zborowskiego, Jana Koszczyc-Witkiewicza. </w:t>
      </w:r>
      <w:r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46E88DF" w14:textId="076B90A1" w:rsidR="00444F56" w:rsidRPr="00821B5C" w:rsidRDefault="00CF221B" w:rsidP="00CF22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Do najważniejszych osiągnięć przedwojennej architektury należą m.in. pierwsze dzieło architektury modernistycznej w Polsce</w:t>
      </w:r>
      <w:r w:rsidR="007A2E24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-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willa Brukalskich przy ulicy Niegolewskiego 8, Szklany Dom przy ul. Mickiewicza 34/36, zaprojektowany przez Juliusza Żórawskiego według 5 zasad awangardowej</w:t>
      </w:r>
      <w:r w:rsidR="007A2E24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architektury Le Corbusiera; </w:t>
      </w:r>
      <w:r w:rsidR="007A2E24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abudowa Żoliborza Oficerskiego i Kolonii Dziennikarskiej o wybitnych walorach kompozycji przestrzennej i architektury; </w:t>
      </w:r>
      <w:r w:rsidR="007A2E24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abudowa </w:t>
      </w:r>
      <w:r w:rsidR="00FB5DAF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olonii mieszkaniowych Warszawskiej Spółdzielni Mieszkaniowej,</w:t>
      </w:r>
      <w:r w:rsidR="00821B5C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A2E24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abudowa Żoliborza Urzędniczego projektowana przez wybitnych architektów modernizmu polskiego: Romualda Gutta, Bohdana </w:t>
      </w:r>
      <w:proofErr w:type="spellStart"/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Lacherta</w:t>
      </w:r>
      <w:proofErr w:type="spellEnd"/>
      <w:r w:rsidR="00444F56" w:rsidRPr="00821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, Józefa Szanajcę, Barbarę i Stanisława Brukalskich, Bohdana Pniewskiego</w:t>
      </w:r>
    </w:p>
    <w:p w14:paraId="395733E9" w14:textId="77777777" w:rsidR="00E34672" w:rsidRDefault="00E34672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</w:p>
    <w:p w14:paraId="02CCE6F6" w14:textId="77777777" w:rsidR="00E34672" w:rsidRDefault="00E34672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</w:p>
    <w:p w14:paraId="0A8E120D" w14:textId="14B8E2E0" w:rsidR="00A02B29" w:rsidRPr="00821B5C" w:rsidRDefault="00A02B29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 w:rsidRPr="00821B5C">
        <w:rPr>
          <w:b/>
          <w:bCs/>
        </w:rPr>
        <w:lastRenderedPageBreak/>
        <w:t xml:space="preserve">5.2.7. Kierunki rozwoju systemów komunikacji, infrastruktury technicznej i społecznej </w:t>
      </w:r>
    </w:p>
    <w:p w14:paraId="1D21C0E7" w14:textId="00650967" w:rsidR="00A02B29" w:rsidRPr="00821B5C" w:rsidRDefault="00E34672" w:rsidP="00CF221B">
      <w:pPr>
        <w:pStyle w:val="NormalnyWeb"/>
        <w:shd w:val="clear" w:color="auto" w:fill="FEFEFE"/>
        <w:spacing w:after="240" w:line="360" w:lineRule="auto"/>
        <w:jc w:val="both"/>
        <w:rPr>
          <w:i/>
          <w:iCs/>
        </w:rPr>
      </w:pPr>
      <w:r>
        <w:t xml:space="preserve">-W odniesieniu do </w:t>
      </w:r>
      <w:r w:rsidR="00821B5C" w:rsidRPr="00821B5C">
        <w:t>zapis</w:t>
      </w:r>
      <w:r>
        <w:t xml:space="preserve">u </w:t>
      </w:r>
      <w:r w:rsidR="00A02B29" w:rsidRPr="00821B5C">
        <w:t xml:space="preserve">„ </w:t>
      </w:r>
      <w:r w:rsidR="00A02B29" w:rsidRPr="00821B5C">
        <w:rPr>
          <w:i/>
          <w:iCs/>
        </w:rPr>
        <w:t>W ramach ustaleń na poziomie metropolitalnym zobowiązujemy się do:  • koordynowania i wspierania współpracy między gminami, która ma na celu znalezienie optymalnej lokalizacji dla obiektów bądź elementów infrastruktury technicznej i społecznej, które są niezbędne dla prawidłowego funkcjonowania metropolii, ale mało akceptowane społecznie</w:t>
      </w:r>
      <w:r w:rsidR="007A2E24" w:rsidRPr="00821B5C">
        <w:rPr>
          <w:i/>
          <w:iCs/>
        </w:rPr>
        <w:t>”</w:t>
      </w:r>
    </w:p>
    <w:p w14:paraId="4B6D6C63" w14:textId="5AFDBD7C" w:rsidR="007A2E24" w:rsidRPr="00821B5C" w:rsidRDefault="00E34672" w:rsidP="00CF221B">
      <w:pPr>
        <w:pStyle w:val="NormalnyWeb"/>
        <w:shd w:val="clear" w:color="auto" w:fill="FEFEFE"/>
        <w:spacing w:after="240" w:line="360" w:lineRule="auto"/>
        <w:jc w:val="both"/>
        <w:rPr>
          <w:b/>
          <w:bCs/>
        </w:rPr>
      </w:pPr>
      <w:r>
        <w:rPr>
          <w:b/>
          <w:bCs/>
        </w:rPr>
        <w:t xml:space="preserve">     </w:t>
      </w:r>
      <w:r w:rsidR="007A2E24" w:rsidRPr="00821B5C">
        <w:rPr>
          <w:b/>
          <w:bCs/>
        </w:rPr>
        <w:t xml:space="preserve">Komisja </w:t>
      </w:r>
      <w:r w:rsidR="004656A7" w:rsidRPr="00821B5C">
        <w:rPr>
          <w:b/>
          <w:bCs/>
        </w:rPr>
        <w:t xml:space="preserve">szczególnie popiera tą rekomendację,  </w:t>
      </w:r>
      <w:r w:rsidR="00CF221B" w:rsidRPr="00821B5C">
        <w:rPr>
          <w:b/>
          <w:bCs/>
        </w:rPr>
        <w:t>podkreśla</w:t>
      </w:r>
      <w:r w:rsidR="004656A7" w:rsidRPr="00821B5C">
        <w:rPr>
          <w:b/>
          <w:bCs/>
        </w:rPr>
        <w:t>jąc jednocześnie</w:t>
      </w:r>
      <w:r w:rsidR="00CF221B" w:rsidRPr="00821B5C">
        <w:rPr>
          <w:b/>
          <w:bCs/>
        </w:rPr>
        <w:t xml:space="preserve">, iż </w:t>
      </w:r>
      <w:r w:rsidR="00821B5C" w:rsidRPr="00821B5C">
        <w:rPr>
          <w:b/>
          <w:bCs/>
        </w:rPr>
        <w:t xml:space="preserve"> </w:t>
      </w:r>
      <w:r w:rsidR="00CF221B" w:rsidRPr="00821B5C">
        <w:rPr>
          <w:b/>
          <w:bCs/>
        </w:rPr>
        <w:t xml:space="preserve"> przykładem obiektu infrastruktury społecznej, który został wielokrotnie oprotestowany przez mieszkańców oraz Radę Dzielnicy jest projekt tzw.  Mostu Krasińskiego</w:t>
      </w:r>
      <w:r w:rsidR="002B0FA4" w:rsidRPr="00821B5C">
        <w:rPr>
          <w:b/>
          <w:bCs/>
        </w:rPr>
        <w:t xml:space="preserve"> mający łączyć Żoliborz z Targówkiem. </w:t>
      </w:r>
      <w:r w:rsidR="00CF221B" w:rsidRPr="00821B5C">
        <w:rPr>
          <w:b/>
          <w:bCs/>
        </w:rPr>
        <w:t xml:space="preserve"> </w:t>
      </w:r>
      <w:r w:rsidR="00CF221B" w:rsidRPr="00821B5C">
        <w:rPr>
          <w:b/>
          <w:bCs/>
          <w:color w:val="000000"/>
          <w:shd w:val="clear" w:color="auto" w:fill="FFFFFF"/>
        </w:rPr>
        <w:t xml:space="preserve">Istotą problemu było zagrożenie wprowadzeniem do środka zabytkowej </w:t>
      </w:r>
      <w:r w:rsidR="00821B5C" w:rsidRPr="00821B5C">
        <w:rPr>
          <w:b/>
          <w:bCs/>
          <w:color w:val="000000"/>
          <w:shd w:val="clear" w:color="auto" w:fill="FFFFFF"/>
        </w:rPr>
        <w:t xml:space="preserve"> </w:t>
      </w:r>
      <w:r w:rsidR="00CF221B" w:rsidRPr="00821B5C">
        <w:rPr>
          <w:b/>
          <w:bCs/>
          <w:color w:val="000000"/>
          <w:shd w:val="clear" w:color="auto" w:fill="FFFFFF"/>
        </w:rPr>
        <w:t xml:space="preserve">dzielnicy tranzytowego ruchu samochodów indywidualnych. Jest to sprzeczne z deklarowanymi przez m.st. Warszawa w dokumentach strategicznych wartościami, takimi </w:t>
      </w:r>
      <w:r w:rsidR="00821B5C" w:rsidRPr="00821B5C">
        <w:rPr>
          <w:b/>
          <w:bCs/>
          <w:color w:val="000000"/>
          <w:shd w:val="clear" w:color="auto" w:fill="FFFFFF"/>
        </w:rPr>
        <w:t xml:space="preserve"> </w:t>
      </w:r>
      <w:r w:rsidR="00CF221B" w:rsidRPr="00821B5C">
        <w:rPr>
          <w:b/>
          <w:bCs/>
          <w:color w:val="000000"/>
          <w:shd w:val="clear" w:color="auto" w:fill="FFFFFF"/>
        </w:rPr>
        <w:t>jak: zrównoważona mobilność, troska o politykę klimatyczną oraz poszanowanie dziedzictwa lokalnego. Żoliborz zaprojektowany w dwudziestoleciu międzywojennym przez</w:t>
      </w:r>
      <w:r w:rsidR="00821B5C" w:rsidRPr="00821B5C">
        <w:rPr>
          <w:b/>
          <w:bCs/>
          <w:color w:val="000000"/>
          <w:shd w:val="clear" w:color="auto" w:fill="FFFFFF"/>
        </w:rPr>
        <w:t xml:space="preserve"> </w:t>
      </w:r>
      <w:r w:rsidR="00CF221B" w:rsidRPr="00821B5C">
        <w:rPr>
          <w:b/>
          <w:bCs/>
          <w:color w:val="000000"/>
          <w:shd w:val="clear" w:color="auto" w:fill="FFFFFF"/>
        </w:rPr>
        <w:t xml:space="preserve"> wybitnych </w:t>
      </w:r>
      <w:r w:rsidR="00821B5C" w:rsidRPr="00821B5C">
        <w:rPr>
          <w:b/>
          <w:bCs/>
          <w:color w:val="000000"/>
          <w:shd w:val="clear" w:color="auto" w:fill="FFFFFF"/>
        </w:rPr>
        <w:t xml:space="preserve"> </w:t>
      </w:r>
      <w:r w:rsidR="00CF221B" w:rsidRPr="00821B5C">
        <w:rPr>
          <w:b/>
          <w:bCs/>
          <w:color w:val="000000"/>
          <w:shd w:val="clear" w:color="auto" w:fill="FFFFFF"/>
        </w:rPr>
        <w:t>architektów i urbanistów w nawiązaniu do idei miasta ogrodu stanowi integralną całość i nie jest wskazane wpuszczanie w tę dzielnicę dodatkowego tranzytu indywidualnego, czym mogłaby  skutkować niedoszła  budowa przedłużenia ulicy Krasińskiego.</w:t>
      </w:r>
    </w:p>
    <w:p w14:paraId="17B470EF" w14:textId="77777777" w:rsidR="00E34672" w:rsidRDefault="00E34672" w:rsidP="00CF221B">
      <w:pPr>
        <w:pStyle w:val="NormalnyWeb"/>
        <w:shd w:val="clear" w:color="auto" w:fill="FEFEFE"/>
        <w:spacing w:after="480" w:line="360" w:lineRule="auto"/>
        <w:jc w:val="both"/>
      </w:pPr>
    </w:p>
    <w:p w14:paraId="66FFB701" w14:textId="17DD167D" w:rsidR="00E422EF" w:rsidRPr="00821B5C" w:rsidRDefault="00E422EF" w:rsidP="00CF221B">
      <w:pPr>
        <w:pStyle w:val="NormalnyWeb"/>
        <w:shd w:val="clear" w:color="auto" w:fill="FEFEFE"/>
        <w:spacing w:after="480" w:line="360" w:lineRule="auto"/>
        <w:jc w:val="both"/>
      </w:pPr>
      <w:r w:rsidRPr="00821B5C">
        <w:t>§ 2. Uchwała wchodzi w życie z dniem podjęcia.</w:t>
      </w:r>
    </w:p>
    <w:p w14:paraId="6D885D70" w14:textId="77777777" w:rsidR="00E34672" w:rsidRDefault="00821B5C" w:rsidP="00821B5C">
      <w:pPr>
        <w:pStyle w:val="NormalnyWeb"/>
        <w:shd w:val="clear" w:color="auto" w:fill="FEFEFE"/>
        <w:spacing w:after="480" w:line="360" w:lineRule="auto"/>
        <w:jc w:val="both"/>
      </w:pPr>
      <w:r w:rsidRPr="00821B5C">
        <w:t xml:space="preserve">§ 3. Adresatami niniejszej uchwały są: </w:t>
      </w:r>
    </w:p>
    <w:p w14:paraId="65D9B1ED" w14:textId="77777777" w:rsidR="00E34672" w:rsidRDefault="00E34672" w:rsidP="00821B5C">
      <w:pPr>
        <w:pStyle w:val="NormalnyWeb"/>
        <w:shd w:val="clear" w:color="auto" w:fill="FEFEFE"/>
        <w:spacing w:after="480" w:line="360" w:lineRule="auto"/>
        <w:jc w:val="both"/>
      </w:pPr>
      <w:r>
        <w:t>-Stowarzyszenie „Metropolia Warszawa”</w:t>
      </w:r>
    </w:p>
    <w:p w14:paraId="764EBCBD" w14:textId="74C69160" w:rsidR="00821B5C" w:rsidRPr="00821B5C" w:rsidRDefault="00E34672" w:rsidP="00821B5C">
      <w:pPr>
        <w:pStyle w:val="NormalnyWeb"/>
        <w:shd w:val="clear" w:color="auto" w:fill="FEFEFE"/>
        <w:spacing w:after="480" w:line="360" w:lineRule="auto"/>
        <w:jc w:val="both"/>
      </w:pPr>
      <w:r>
        <w:t xml:space="preserve">-p. Paulina </w:t>
      </w:r>
      <w:proofErr w:type="spellStart"/>
      <w:r>
        <w:t>Nowicka-Karpińska</w:t>
      </w:r>
      <w:proofErr w:type="spellEnd"/>
      <w:r>
        <w:t xml:space="preserve"> - Pełnomocnik Prezydenta ds. Strategii Rozwoju Miasta </w:t>
      </w:r>
    </w:p>
    <w:p w14:paraId="457AEEE7" w14:textId="0BFEDCCC" w:rsidR="00821B5C" w:rsidRPr="00821B5C" w:rsidRDefault="00821B5C" w:rsidP="00821B5C">
      <w:pPr>
        <w:pStyle w:val="NormalnyWeb"/>
        <w:shd w:val="clear" w:color="auto" w:fill="FEFEFE"/>
        <w:spacing w:after="480" w:line="360" w:lineRule="auto"/>
        <w:jc w:val="both"/>
      </w:pPr>
      <w:r w:rsidRPr="00821B5C">
        <w:t>-</w:t>
      </w:r>
    </w:p>
    <w:p w14:paraId="593C3875" w14:textId="77777777" w:rsidR="00821B5C" w:rsidRPr="00821B5C" w:rsidRDefault="00821B5C" w:rsidP="00CF221B">
      <w:pPr>
        <w:pStyle w:val="NormalnyWeb"/>
        <w:shd w:val="clear" w:color="auto" w:fill="FEFEFE"/>
        <w:spacing w:after="480" w:line="360" w:lineRule="auto"/>
        <w:jc w:val="both"/>
      </w:pPr>
    </w:p>
    <w:p w14:paraId="53AA0BA8" w14:textId="77777777" w:rsidR="00821B5C" w:rsidRPr="00821B5C" w:rsidRDefault="00821B5C" w:rsidP="00CF221B">
      <w:pPr>
        <w:pStyle w:val="NormalnyWeb"/>
        <w:shd w:val="clear" w:color="auto" w:fill="FEFEFE"/>
        <w:spacing w:after="480" w:line="360" w:lineRule="auto"/>
        <w:jc w:val="both"/>
      </w:pPr>
    </w:p>
    <w:p w14:paraId="0570E9A3" w14:textId="4E094823" w:rsidR="00E422EF" w:rsidRPr="00821B5C" w:rsidRDefault="00E422EF" w:rsidP="00CF221B">
      <w:pPr>
        <w:pStyle w:val="NormalnyWeb"/>
        <w:shd w:val="clear" w:color="auto" w:fill="FEFEFE"/>
        <w:spacing w:after="240" w:line="360" w:lineRule="auto"/>
        <w:ind w:left="6804"/>
        <w:jc w:val="center"/>
        <w:rPr>
          <w:b/>
          <w:bCs/>
        </w:rPr>
      </w:pPr>
      <w:r w:rsidRPr="00821B5C">
        <w:rPr>
          <w:b/>
          <w:bCs/>
        </w:rPr>
        <w:t>Przewodniczący Komisji Samorządności i Dialogu Społecznego</w:t>
      </w:r>
    </w:p>
    <w:p w14:paraId="7AB016FC" w14:textId="63EC6D29" w:rsidR="00E422EF" w:rsidRPr="00821B5C" w:rsidRDefault="00E422EF" w:rsidP="00CF221B">
      <w:pPr>
        <w:pStyle w:val="NormalnyWeb"/>
        <w:shd w:val="clear" w:color="auto" w:fill="FEFEFE"/>
        <w:spacing w:after="240" w:line="360" w:lineRule="auto"/>
        <w:ind w:left="6804"/>
        <w:jc w:val="center"/>
      </w:pPr>
      <w:r w:rsidRPr="00821B5C">
        <w:t>Adam Buława</w:t>
      </w:r>
    </w:p>
    <w:p w14:paraId="603D6E01" w14:textId="77777777" w:rsidR="00CF221B" w:rsidRPr="00821B5C" w:rsidRDefault="00CF221B">
      <w:pPr>
        <w:pStyle w:val="NormalnyWeb"/>
        <w:shd w:val="clear" w:color="auto" w:fill="FEFEFE"/>
        <w:spacing w:after="240" w:line="360" w:lineRule="auto"/>
        <w:ind w:left="6804"/>
        <w:jc w:val="center"/>
      </w:pPr>
    </w:p>
    <w:sectPr w:rsidR="00CF221B" w:rsidRPr="0082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989"/>
    <w:multiLevelType w:val="hybridMultilevel"/>
    <w:tmpl w:val="7A801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2399"/>
    <w:multiLevelType w:val="hybridMultilevel"/>
    <w:tmpl w:val="283CDFC0"/>
    <w:lvl w:ilvl="0" w:tplc="45C869E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ACB"/>
    <w:multiLevelType w:val="hybridMultilevel"/>
    <w:tmpl w:val="68FCF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1A66"/>
    <w:multiLevelType w:val="hybridMultilevel"/>
    <w:tmpl w:val="261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485D"/>
    <w:multiLevelType w:val="hybridMultilevel"/>
    <w:tmpl w:val="AA5E6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10A0"/>
    <w:multiLevelType w:val="multilevel"/>
    <w:tmpl w:val="DEFE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23844"/>
    <w:multiLevelType w:val="hybridMultilevel"/>
    <w:tmpl w:val="9908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5365"/>
    <w:multiLevelType w:val="hybridMultilevel"/>
    <w:tmpl w:val="3FA2A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66FF"/>
    <w:multiLevelType w:val="multilevel"/>
    <w:tmpl w:val="498C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26F0C"/>
    <w:multiLevelType w:val="hybridMultilevel"/>
    <w:tmpl w:val="CE5C3E6A"/>
    <w:lvl w:ilvl="0" w:tplc="03DC7C8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73616"/>
    <w:multiLevelType w:val="hybridMultilevel"/>
    <w:tmpl w:val="1B12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E7224"/>
    <w:multiLevelType w:val="hybridMultilevel"/>
    <w:tmpl w:val="EBA26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308D8"/>
    <w:multiLevelType w:val="hybridMultilevel"/>
    <w:tmpl w:val="FBAEF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70A9B"/>
    <w:multiLevelType w:val="hybridMultilevel"/>
    <w:tmpl w:val="6E5E6820"/>
    <w:lvl w:ilvl="0" w:tplc="29C020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D0905"/>
    <w:multiLevelType w:val="hybridMultilevel"/>
    <w:tmpl w:val="4D80B3E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35B30BB"/>
    <w:multiLevelType w:val="hybridMultilevel"/>
    <w:tmpl w:val="2F620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629C3"/>
    <w:multiLevelType w:val="hybridMultilevel"/>
    <w:tmpl w:val="9B6C1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924C5"/>
    <w:multiLevelType w:val="multilevel"/>
    <w:tmpl w:val="860A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1070E"/>
    <w:multiLevelType w:val="hybridMultilevel"/>
    <w:tmpl w:val="4DB6BB2A"/>
    <w:lvl w:ilvl="0" w:tplc="603A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34850"/>
    <w:multiLevelType w:val="hybridMultilevel"/>
    <w:tmpl w:val="4EFA4008"/>
    <w:lvl w:ilvl="0" w:tplc="E316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6A76"/>
    <w:multiLevelType w:val="hybridMultilevel"/>
    <w:tmpl w:val="58EA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13409"/>
    <w:multiLevelType w:val="hybridMultilevel"/>
    <w:tmpl w:val="E26E41D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62FF2E47"/>
    <w:multiLevelType w:val="hybridMultilevel"/>
    <w:tmpl w:val="0456A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703FB"/>
    <w:multiLevelType w:val="hybridMultilevel"/>
    <w:tmpl w:val="DC485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252A"/>
    <w:multiLevelType w:val="hybridMultilevel"/>
    <w:tmpl w:val="0CCC6D98"/>
    <w:lvl w:ilvl="0" w:tplc="603A26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70472FF9"/>
    <w:multiLevelType w:val="hybridMultilevel"/>
    <w:tmpl w:val="0FA0A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D0730"/>
    <w:multiLevelType w:val="hybridMultilevel"/>
    <w:tmpl w:val="DAD48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30572"/>
    <w:multiLevelType w:val="hybridMultilevel"/>
    <w:tmpl w:val="27FA0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7362">
    <w:abstractNumId w:val="24"/>
  </w:num>
  <w:num w:numId="2" w16cid:durableId="639188895">
    <w:abstractNumId w:val="19"/>
  </w:num>
  <w:num w:numId="3" w16cid:durableId="1366713096">
    <w:abstractNumId w:val="20"/>
  </w:num>
  <w:num w:numId="4" w16cid:durableId="2045447606">
    <w:abstractNumId w:val="26"/>
  </w:num>
  <w:num w:numId="5" w16cid:durableId="2145002615">
    <w:abstractNumId w:val="27"/>
  </w:num>
  <w:num w:numId="6" w16cid:durableId="652680898">
    <w:abstractNumId w:val="4"/>
  </w:num>
  <w:num w:numId="7" w16cid:durableId="607077713">
    <w:abstractNumId w:val="18"/>
  </w:num>
  <w:num w:numId="8" w16cid:durableId="1594514727">
    <w:abstractNumId w:val="3"/>
  </w:num>
  <w:num w:numId="9" w16cid:durableId="892421787">
    <w:abstractNumId w:val="12"/>
  </w:num>
  <w:num w:numId="10" w16cid:durableId="891691185">
    <w:abstractNumId w:val="10"/>
  </w:num>
  <w:num w:numId="11" w16cid:durableId="154416979">
    <w:abstractNumId w:val="16"/>
  </w:num>
  <w:num w:numId="12" w16cid:durableId="415371878">
    <w:abstractNumId w:val="14"/>
  </w:num>
  <w:num w:numId="13" w16cid:durableId="1613439412">
    <w:abstractNumId w:val="21"/>
  </w:num>
  <w:num w:numId="14" w16cid:durableId="1403869394">
    <w:abstractNumId w:val="2"/>
  </w:num>
  <w:num w:numId="15" w16cid:durableId="584460780">
    <w:abstractNumId w:val="15"/>
  </w:num>
  <w:num w:numId="16" w16cid:durableId="262615611">
    <w:abstractNumId w:val="13"/>
  </w:num>
  <w:num w:numId="17" w16cid:durableId="1934507753">
    <w:abstractNumId w:val="22"/>
  </w:num>
  <w:num w:numId="18" w16cid:durableId="1768043475">
    <w:abstractNumId w:val="1"/>
  </w:num>
  <w:num w:numId="19" w16cid:durableId="547835343">
    <w:abstractNumId w:val="23"/>
  </w:num>
  <w:num w:numId="20" w16cid:durableId="98260850">
    <w:abstractNumId w:val="0"/>
  </w:num>
  <w:num w:numId="21" w16cid:durableId="1074010600">
    <w:abstractNumId w:val="7"/>
  </w:num>
  <w:num w:numId="22" w16cid:durableId="681444047">
    <w:abstractNumId w:val="11"/>
  </w:num>
  <w:num w:numId="23" w16cid:durableId="1315140658">
    <w:abstractNumId w:val="25"/>
  </w:num>
  <w:num w:numId="24" w16cid:durableId="2050257732">
    <w:abstractNumId w:val="9"/>
  </w:num>
  <w:num w:numId="25" w16cid:durableId="228998733">
    <w:abstractNumId w:val="6"/>
  </w:num>
  <w:num w:numId="26" w16cid:durableId="855341326">
    <w:abstractNumId w:val="17"/>
  </w:num>
  <w:num w:numId="27" w16cid:durableId="772746273">
    <w:abstractNumId w:val="8"/>
  </w:num>
  <w:num w:numId="28" w16cid:durableId="357707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9"/>
    <w:rsid w:val="000F3613"/>
    <w:rsid w:val="000F5BC8"/>
    <w:rsid w:val="00171711"/>
    <w:rsid w:val="001A330F"/>
    <w:rsid w:val="002206E9"/>
    <w:rsid w:val="002B0FA4"/>
    <w:rsid w:val="003C4F9B"/>
    <w:rsid w:val="004110BD"/>
    <w:rsid w:val="0041204F"/>
    <w:rsid w:val="00444F56"/>
    <w:rsid w:val="00445D63"/>
    <w:rsid w:val="004656A7"/>
    <w:rsid w:val="004819BF"/>
    <w:rsid w:val="0053043D"/>
    <w:rsid w:val="00551EC7"/>
    <w:rsid w:val="005A4D89"/>
    <w:rsid w:val="006574E8"/>
    <w:rsid w:val="006646DC"/>
    <w:rsid w:val="006C34F9"/>
    <w:rsid w:val="00724ED8"/>
    <w:rsid w:val="007750C3"/>
    <w:rsid w:val="007A2E24"/>
    <w:rsid w:val="00821B5C"/>
    <w:rsid w:val="008C1AB8"/>
    <w:rsid w:val="009441DE"/>
    <w:rsid w:val="00950754"/>
    <w:rsid w:val="00954BC2"/>
    <w:rsid w:val="00985B40"/>
    <w:rsid w:val="009C1636"/>
    <w:rsid w:val="00A02B29"/>
    <w:rsid w:val="00A365B1"/>
    <w:rsid w:val="00A544DF"/>
    <w:rsid w:val="00A55F5C"/>
    <w:rsid w:val="00AE258B"/>
    <w:rsid w:val="00B4219D"/>
    <w:rsid w:val="00B463C7"/>
    <w:rsid w:val="00BA0337"/>
    <w:rsid w:val="00C56ED4"/>
    <w:rsid w:val="00CF221B"/>
    <w:rsid w:val="00D46AD1"/>
    <w:rsid w:val="00E30917"/>
    <w:rsid w:val="00E34672"/>
    <w:rsid w:val="00E422EF"/>
    <w:rsid w:val="00E73414"/>
    <w:rsid w:val="00F74A0B"/>
    <w:rsid w:val="00FA3FF5"/>
    <w:rsid w:val="00FB5DAF"/>
    <w:rsid w:val="00FF1D5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2DB2"/>
  <w15:chartTrackingRefBased/>
  <w15:docId w15:val="{1D33A0FB-7EE0-46AD-8423-6468D117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1D5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F1D59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A0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Kitliński Piotr</cp:lastModifiedBy>
  <cp:revision>2</cp:revision>
  <dcterms:created xsi:type="dcterms:W3CDTF">2025-07-03T07:53:00Z</dcterms:created>
  <dcterms:modified xsi:type="dcterms:W3CDTF">2025-07-03T07:53:00Z</dcterms:modified>
</cp:coreProperties>
</file>